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E8" w:rsidRPr="005562E8" w:rsidRDefault="005562E8" w:rsidP="005562E8">
      <w:r w:rsidRPr="00EF7EED">
        <w:rPr>
          <w:b/>
          <w:bCs/>
          <w:color w:val="C00000"/>
        </w:rPr>
        <w:t>CANALTA FLOW MEASUREMENT</w:t>
      </w:r>
      <w:r w:rsidRPr="00EF7EED">
        <w:rPr>
          <w:color w:val="C00000"/>
        </w:rPr>
        <w:t> </w:t>
      </w:r>
      <w:r w:rsidRPr="005562E8">
        <w:t>is a privately held Canadian company that began operations in 1986 as an instrumentation and electrical contractor. Since 1991, the focus has been on the manufacture of industrial control and measurement equipment. Canalta has been supplying industry worldwide with quality double block &amp; bleed, dual and single chamber orifice fittings, meter runs, flow conditioning accessories and parts for more than fifteen years. Canalta meter runs and orifice fittings are currently in service on every continent and in many off-shore production facilities. We have provided effective flow measurement equipment to companies large and small across a variety of industries, from oil and gas to food service. Canalta has also taken an industry-leading role in orifice meter innovation by improving the reliability and safety of orifice-based metering packages.</w:t>
      </w:r>
    </w:p>
    <w:p w:rsidR="005562E8" w:rsidRPr="005562E8" w:rsidRDefault="005562E8" w:rsidP="005562E8">
      <w:r w:rsidRPr="005562E8">
        <w:t>Today, the Canalta team comprises roughly 250 members spread across the globe, with our headquarters in Red Deer, AB Canada. Here we maintain primary warehouse and manufacturing facilities with full in-house design, full machining, pressure welding and pipe honing capabilities. Red Deer is also home to our main direct sales and corporate offices.</w:t>
      </w:r>
    </w:p>
    <w:p w:rsidR="005562E8" w:rsidRPr="005562E8" w:rsidRDefault="005562E8" w:rsidP="005562E8">
      <w:r w:rsidRPr="005562E8">
        <w:t>In recent years we have added warehousing facilities in Texas, India and Korea, as well as direct sales branch offices in Dallas, Buenos Aires, Singapore and Suffolk, UK. We have also seen growth in the </w:t>
      </w:r>
      <w:hyperlink r:id="rId6" w:history="1">
        <w:r w:rsidRPr="005562E8">
          <w:rPr>
            <w:rStyle w:val="Hyperlink"/>
          </w:rPr>
          <w:t>network of experienced firms</w:t>
        </w:r>
      </w:hyperlink>
      <w:r w:rsidRPr="005562E8">
        <w:t> representing and servicing our product around the world. This outward expansion has been undertaken in order to provide our growing customer base with cost-effective, high quality measurement equipment as efficiently as possible.</w:t>
      </w:r>
    </w:p>
    <w:p w:rsidR="005562E8" w:rsidRPr="005562E8" w:rsidRDefault="005562E8" w:rsidP="005562E8">
      <w:r w:rsidRPr="005562E8">
        <w:t>Throughout our history we have maintained a dedication to quality, service and delivery without sacrificing our competitive price point. Our ISO 9001 registration, PED certification, comprehensive quality control program and expanding business reflect this dedication, and we are committed to maintaining these values in the future.</w:t>
      </w:r>
    </w:p>
    <w:p w:rsidR="005562E8" w:rsidRPr="00EF7EED" w:rsidRDefault="005562E8" w:rsidP="005562E8">
      <w:pPr>
        <w:rPr>
          <w:b/>
          <w:bCs/>
          <w:color w:val="C00000"/>
        </w:rPr>
      </w:pPr>
      <w:r w:rsidRPr="00EF7EED">
        <w:rPr>
          <w:b/>
          <w:bCs/>
          <w:color w:val="C00000"/>
        </w:rPr>
        <w:t>CANALTA DUAL CHAMBER ORIFICE FITTING</w:t>
      </w:r>
    </w:p>
    <w:p w:rsidR="005562E8" w:rsidRDefault="005562E8" w:rsidP="005562E8">
      <w:pPr>
        <w:rPr>
          <w:i/>
          <w:iCs/>
        </w:rPr>
      </w:pPr>
      <w:r w:rsidRPr="005562E8">
        <w:rPr>
          <w:i/>
          <w:iCs/>
        </w:rPr>
        <w:t>The Canalta Dual Chamber Orifice Fitting allows for accurate flow measurements, orifice plate inspection and changing without breaking apart or depressurizing the flow line.</w:t>
      </w:r>
      <w:r>
        <w:rPr>
          <w:i/>
          <w:iCs/>
        </w:rPr>
        <w:t xml:space="preserve"> (Photo)</w:t>
      </w:r>
    </w:p>
    <w:p w:rsidR="005562E8" w:rsidRPr="00EF7EED" w:rsidRDefault="005562E8" w:rsidP="005562E8">
      <w:pPr>
        <w:rPr>
          <w:b/>
          <w:bCs/>
          <w:iCs/>
          <w:color w:val="C00000"/>
        </w:rPr>
      </w:pPr>
      <w:r w:rsidRPr="00EF7EED">
        <w:rPr>
          <w:b/>
          <w:bCs/>
          <w:iCs/>
          <w:color w:val="C00000"/>
        </w:rPr>
        <w:t>CANALTA SINGLE CHAMBER ORIFICE FITTING</w:t>
      </w:r>
    </w:p>
    <w:p w:rsidR="005562E8" w:rsidRDefault="005562E8" w:rsidP="005562E8">
      <w:pPr>
        <w:rPr>
          <w:i/>
          <w:iCs/>
        </w:rPr>
      </w:pPr>
      <w:r w:rsidRPr="005562E8">
        <w:rPr>
          <w:i/>
          <w:iCs/>
        </w:rPr>
        <w:t xml:space="preserve">The Canalta Single Chamber Orifice Fitting is designed and constructed to allow for ease of orifice plate replacement or inspection after depressurization. </w:t>
      </w:r>
      <w:r>
        <w:rPr>
          <w:i/>
          <w:iCs/>
        </w:rPr>
        <w:t>(Photo)</w:t>
      </w:r>
    </w:p>
    <w:p w:rsidR="005562E8" w:rsidRPr="00EF7EED" w:rsidRDefault="005562E8" w:rsidP="005562E8">
      <w:pPr>
        <w:rPr>
          <w:b/>
          <w:bCs/>
          <w:i/>
          <w:iCs/>
          <w:color w:val="C00000"/>
        </w:rPr>
      </w:pPr>
      <w:r w:rsidRPr="00EF7EED">
        <w:rPr>
          <w:b/>
          <w:bCs/>
          <w:i/>
          <w:iCs/>
          <w:color w:val="C00000"/>
        </w:rPr>
        <w:t>CUSTOM METER RUNS</w:t>
      </w:r>
    </w:p>
    <w:p w:rsidR="005562E8" w:rsidRDefault="005562E8" w:rsidP="005562E8">
      <w:pPr>
        <w:rPr>
          <w:i/>
          <w:iCs/>
        </w:rPr>
      </w:pPr>
      <w:r w:rsidRPr="005562E8">
        <w:rPr>
          <w:i/>
          <w:iCs/>
        </w:rPr>
        <w:t>Canalta fabricates custom meter runs for all of our orifice fitting models and a variety of other metering applications. Whether the size is 2” or 30”, high or low pressure, wet, dry or corrosive service, we can put together a custom meter run package that meets your specification or performance needs and perfectly matches your Canalta Orifice Fitting or other specialized metering device.</w:t>
      </w:r>
      <w:r>
        <w:rPr>
          <w:i/>
          <w:iCs/>
        </w:rPr>
        <w:t xml:space="preserve"> </w:t>
      </w:r>
      <w:r>
        <w:rPr>
          <w:i/>
          <w:iCs/>
        </w:rPr>
        <w:t>(Photo)</w:t>
      </w:r>
    </w:p>
    <w:p w:rsidR="005562E8" w:rsidRDefault="005562E8" w:rsidP="005562E8">
      <w:pPr>
        <w:rPr>
          <w:i/>
          <w:iCs/>
        </w:rPr>
      </w:pPr>
      <w:r w:rsidRPr="00EF7EED">
        <w:rPr>
          <w:b/>
          <w:bCs/>
          <w:i/>
          <w:iCs/>
          <w:color w:val="C00000"/>
        </w:rPr>
        <w:lastRenderedPageBreak/>
        <w:t xml:space="preserve">Canalta Contour™ Series flow </w:t>
      </w:r>
      <w:r w:rsidR="00EF7EED" w:rsidRPr="00EF7EED">
        <w:rPr>
          <w:b/>
          <w:bCs/>
          <w:i/>
          <w:iCs/>
          <w:color w:val="C00000"/>
        </w:rPr>
        <w:t>C</w:t>
      </w:r>
      <w:r w:rsidRPr="00EF7EED">
        <w:rPr>
          <w:b/>
          <w:bCs/>
          <w:i/>
          <w:iCs/>
          <w:color w:val="C00000"/>
        </w:rPr>
        <w:t>onditioners</w:t>
      </w:r>
      <w:r w:rsidRPr="005562E8">
        <w:rPr>
          <w:i/>
          <w:iCs/>
        </w:rPr>
        <w:t xml:space="preserve">. These isolating flow conditioners incorporate a non-protruding HNBR seal around the downstream face to prevent bypass leakage, and are available in a number of industry accepted plate geometries, from the </w:t>
      </w:r>
      <w:proofErr w:type="spellStart"/>
      <w:r w:rsidRPr="005562E8">
        <w:rPr>
          <w:i/>
          <w:iCs/>
        </w:rPr>
        <w:t>Zanker</w:t>
      </w:r>
      <w:proofErr w:type="spellEnd"/>
      <w:r w:rsidRPr="005562E8">
        <w:rPr>
          <w:i/>
          <w:iCs/>
        </w:rPr>
        <w:t xml:space="preserve"> to the #50-style and more.</w:t>
      </w:r>
    </w:p>
    <w:p w:rsidR="005562E8" w:rsidRDefault="005562E8" w:rsidP="005562E8">
      <w:pPr>
        <w:rPr>
          <w:i/>
          <w:iCs/>
        </w:rPr>
      </w:pPr>
      <w:r w:rsidRPr="005562E8">
        <w:rPr>
          <w:i/>
          <w:iCs/>
        </w:rPr>
        <w:t>The Canalta Contour FCH™ Flow Conditioner Housing brings the ease, safety and practicality of inspecting and changing an orifice plate to the flow conditioner. This long overdue concept allows for regular inspections of the flow conditioner without breaking apart the flow line. The Canalta Contour FCH™ allows the operator to easily perform flow conditioner inspection and maintenance on the same regular schedule as the orifice plate. With this innovative, newly patented design, you can be sure that your flow profile has not been degraded by damage, blockage or residue accumulation.</w:t>
      </w:r>
    </w:p>
    <w:p w:rsidR="005562E8" w:rsidRPr="005562E8" w:rsidRDefault="005562E8" w:rsidP="005562E8">
      <w:pPr>
        <w:rPr>
          <w:b/>
          <w:bCs/>
          <w:i/>
          <w:iCs/>
        </w:rPr>
      </w:pPr>
      <w:r w:rsidRPr="005562E8">
        <w:rPr>
          <w:b/>
          <w:bCs/>
          <w:i/>
          <w:iCs/>
        </w:rPr>
        <w:t>KEY FEATURES</w:t>
      </w:r>
    </w:p>
    <w:p w:rsidR="005562E8" w:rsidRPr="005562E8" w:rsidRDefault="005562E8" w:rsidP="005562E8">
      <w:pPr>
        <w:numPr>
          <w:ilvl w:val="0"/>
          <w:numId w:val="1"/>
        </w:numPr>
        <w:rPr>
          <w:i/>
          <w:iCs/>
        </w:rPr>
      </w:pPr>
      <w:r w:rsidRPr="005562E8">
        <w:rPr>
          <w:i/>
          <w:iCs/>
        </w:rPr>
        <w:t>AGA-3 and ISO-5167 compliance</w:t>
      </w:r>
    </w:p>
    <w:p w:rsidR="005562E8" w:rsidRPr="005562E8" w:rsidRDefault="005562E8" w:rsidP="005562E8">
      <w:pPr>
        <w:numPr>
          <w:ilvl w:val="0"/>
          <w:numId w:val="1"/>
        </w:numPr>
        <w:rPr>
          <w:i/>
          <w:iCs/>
        </w:rPr>
      </w:pPr>
      <w:r w:rsidRPr="005562E8">
        <w:rPr>
          <w:i/>
          <w:iCs/>
        </w:rPr>
        <w:t>Effective in all flow measurement applications where flow profile is critical for accuracy.</w:t>
      </w:r>
    </w:p>
    <w:p w:rsidR="005562E8" w:rsidRPr="005562E8" w:rsidRDefault="005562E8" w:rsidP="005562E8">
      <w:pPr>
        <w:numPr>
          <w:ilvl w:val="0"/>
          <w:numId w:val="1"/>
        </w:numPr>
        <w:rPr>
          <w:i/>
          <w:iCs/>
        </w:rPr>
      </w:pPr>
      <w:r w:rsidRPr="005562E8">
        <w:rPr>
          <w:i/>
          <w:iCs/>
        </w:rPr>
        <w:t>Maintains flow conditioner alignment and positioning despite replacement or debris impact.</w:t>
      </w:r>
    </w:p>
    <w:p w:rsidR="005562E8" w:rsidRPr="005562E8" w:rsidRDefault="005562E8" w:rsidP="005562E8">
      <w:pPr>
        <w:numPr>
          <w:ilvl w:val="0"/>
          <w:numId w:val="1"/>
        </w:numPr>
        <w:rPr>
          <w:i/>
          <w:iCs/>
        </w:rPr>
      </w:pPr>
      <w:r w:rsidRPr="005562E8">
        <w:rPr>
          <w:i/>
          <w:iCs/>
        </w:rPr>
        <w:t>Prevents bypass leakage.</w:t>
      </w:r>
    </w:p>
    <w:p w:rsidR="005562E8" w:rsidRPr="005562E8" w:rsidRDefault="005562E8" w:rsidP="005562E8">
      <w:pPr>
        <w:numPr>
          <w:ilvl w:val="0"/>
          <w:numId w:val="1"/>
        </w:numPr>
        <w:rPr>
          <w:i/>
          <w:iCs/>
        </w:rPr>
      </w:pPr>
      <w:r w:rsidRPr="005562E8">
        <w:rPr>
          <w:i/>
          <w:iCs/>
        </w:rPr>
        <w:t>Allows for easy flow conditioner inspection, removal and replacement.</w:t>
      </w:r>
    </w:p>
    <w:p w:rsidR="005562E8" w:rsidRPr="005562E8" w:rsidRDefault="005562E8" w:rsidP="005562E8">
      <w:pPr>
        <w:numPr>
          <w:ilvl w:val="0"/>
          <w:numId w:val="1"/>
        </w:numPr>
        <w:rPr>
          <w:i/>
          <w:iCs/>
        </w:rPr>
      </w:pPr>
      <w:r w:rsidRPr="005562E8">
        <w:rPr>
          <w:i/>
          <w:iCs/>
        </w:rPr>
        <w:t>Effective in both retro-fits and new projects.</w:t>
      </w:r>
    </w:p>
    <w:p w:rsidR="005562E8" w:rsidRPr="005562E8" w:rsidRDefault="005562E8" w:rsidP="005562E8">
      <w:pPr>
        <w:numPr>
          <w:ilvl w:val="0"/>
          <w:numId w:val="1"/>
        </w:numPr>
        <w:rPr>
          <w:i/>
          <w:iCs/>
        </w:rPr>
      </w:pPr>
      <w:r w:rsidRPr="005562E8">
        <w:rPr>
          <w:i/>
          <w:iCs/>
        </w:rPr>
        <w:t>Can be supplied with any upstream connection type (flanged, weld-neck, threaded end and more).</w:t>
      </w:r>
    </w:p>
    <w:p w:rsidR="005562E8" w:rsidRPr="005562E8" w:rsidRDefault="005562E8" w:rsidP="005562E8">
      <w:pPr>
        <w:numPr>
          <w:ilvl w:val="0"/>
          <w:numId w:val="1"/>
        </w:numPr>
        <w:rPr>
          <w:i/>
          <w:iCs/>
        </w:rPr>
      </w:pPr>
      <w:r w:rsidRPr="005562E8">
        <w:rPr>
          <w:i/>
          <w:iCs/>
        </w:rPr>
        <w:t>Available in sizes 2" - 12" NPS.</w:t>
      </w:r>
    </w:p>
    <w:p w:rsidR="005562E8" w:rsidRPr="005562E8" w:rsidRDefault="005562E8" w:rsidP="005562E8">
      <w:pPr>
        <w:numPr>
          <w:ilvl w:val="0"/>
          <w:numId w:val="1"/>
        </w:numPr>
        <w:rPr>
          <w:i/>
          <w:iCs/>
        </w:rPr>
      </w:pPr>
      <w:r w:rsidRPr="005562E8">
        <w:rPr>
          <w:i/>
          <w:iCs/>
        </w:rPr>
        <w:t>Can be fitted for standard or extreme corrosive service.</w:t>
      </w:r>
    </w:p>
    <w:p w:rsidR="005562E8" w:rsidRPr="005562E8" w:rsidRDefault="005562E8" w:rsidP="005562E8">
      <w:pPr>
        <w:numPr>
          <w:ilvl w:val="0"/>
          <w:numId w:val="1"/>
        </w:numPr>
        <w:rPr>
          <w:i/>
          <w:iCs/>
        </w:rPr>
      </w:pPr>
      <w:r w:rsidRPr="005562E8">
        <w:rPr>
          <w:i/>
          <w:iCs/>
        </w:rPr>
        <w:t>Available in both single and dual chamber designs.</w:t>
      </w:r>
    </w:p>
    <w:p w:rsidR="005562E8" w:rsidRPr="005562E8" w:rsidRDefault="005562E8" w:rsidP="005562E8">
      <w:pPr>
        <w:rPr>
          <w:i/>
          <w:iCs/>
        </w:rPr>
      </w:pPr>
    </w:p>
    <w:p w:rsidR="00EF7EED" w:rsidRPr="00EF7EED" w:rsidRDefault="00EF7EED" w:rsidP="00EF7EED">
      <w:pPr>
        <w:rPr>
          <w:b/>
          <w:bCs/>
          <w:i/>
          <w:iCs/>
          <w:color w:val="C00000"/>
        </w:rPr>
      </w:pPr>
      <w:r w:rsidRPr="00EF7EED">
        <w:rPr>
          <w:b/>
          <w:bCs/>
          <w:i/>
          <w:iCs/>
          <w:color w:val="C00000"/>
        </w:rPr>
        <w:t>ORIFICE FITTING PARTS &amp; KITS</w:t>
      </w:r>
    </w:p>
    <w:p w:rsidR="00EF7EED" w:rsidRPr="00EF7EED" w:rsidRDefault="00EF7EED" w:rsidP="00EF7EED">
      <w:pPr>
        <w:rPr>
          <w:i/>
          <w:iCs/>
        </w:rPr>
      </w:pPr>
      <w:r w:rsidRPr="00EF7EED">
        <w:rPr>
          <w:i/>
          <w:iCs/>
        </w:rPr>
        <w:t xml:space="preserve">Everything needed to keep Dual and Single Chamber Orifice Fittings operating accurately and efficiently. Parts are available for standard or corrosive service </w:t>
      </w:r>
      <w:proofErr w:type="gramStart"/>
      <w:r w:rsidRPr="00EF7EED">
        <w:rPr>
          <w:i/>
          <w:iCs/>
        </w:rPr>
        <w:t>requirements,</w:t>
      </w:r>
      <w:proofErr w:type="gramEnd"/>
      <w:r w:rsidRPr="00EF7EED">
        <w:rPr>
          <w:i/>
          <w:iCs/>
        </w:rPr>
        <w:t xml:space="preserve"> line sizes 2" through 30", ANSI ratings 150 through 2500. Canalta Orifice Fitting Repair Kits include a full complement of orifice fitting parts, allowing for a complete rebuild of the orifice fitting or replenishment of spare parts inventory. These kits are available with 4130 carbon steel internals for standard applications, or 316 stainless steel internals for extreme corrosive applications. All repair kits include high grade HNBR internal seals and are packaged in a sturdy resin case for easy storage or transport.</w:t>
      </w:r>
    </w:p>
    <w:p w:rsidR="00EF7EED" w:rsidRPr="00EF7EED" w:rsidRDefault="00EF7EED" w:rsidP="00EF7EED">
      <w:pPr>
        <w:rPr>
          <w:i/>
          <w:iCs/>
        </w:rPr>
      </w:pPr>
      <w:r w:rsidRPr="00EF7EED">
        <w:rPr>
          <w:i/>
          <w:iCs/>
        </w:rPr>
        <w:lastRenderedPageBreak/>
        <w:t xml:space="preserve">Repair kits for Daniel* Junior and Senior Orifice Fittings are also available, substituting </w:t>
      </w:r>
      <w:proofErr w:type="spellStart"/>
      <w:r w:rsidRPr="00EF7EED">
        <w:rPr>
          <w:i/>
          <w:iCs/>
        </w:rPr>
        <w:t>Garlock</w:t>
      </w:r>
      <w:proofErr w:type="spellEnd"/>
      <w:r w:rsidRPr="00EF7EED">
        <w:rPr>
          <w:i/>
          <w:iCs/>
        </w:rPr>
        <w:t xml:space="preserve"> gaskets for the standard Canalta body, valve seat and seal bar O-ring seals. These parts can also be supplied on an individual basis. Contact us for full details on our servicing of Daniel product lines.</w:t>
      </w:r>
    </w:p>
    <w:p w:rsidR="00EF7EED" w:rsidRPr="00EF7EED" w:rsidRDefault="00EF7EED" w:rsidP="00EF7EED">
      <w:pPr>
        <w:rPr>
          <w:b/>
          <w:bCs/>
          <w:i/>
          <w:iCs/>
          <w:color w:val="C00000"/>
        </w:rPr>
      </w:pPr>
      <w:bookmarkStart w:id="0" w:name="_GoBack"/>
      <w:r w:rsidRPr="00EF7EED">
        <w:rPr>
          <w:b/>
          <w:bCs/>
          <w:i/>
          <w:iCs/>
          <w:color w:val="C00000"/>
        </w:rPr>
        <w:t>ORIFICE PLATES AND SEALS</w:t>
      </w:r>
    </w:p>
    <w:bookmarkEnd w:id="0"/>
    <w:p w:rsidR="00EF7EED" w:rsidRPr="00EF7EED" w:rsidRDefault="00EF7EED" w:rsidP="00EF7EED">
      <w:pPr>
        <w:rPr>
          <w:i/>
          <w:iCs/>
        </w:rPr>
      </w:pPr>
      <w:r w:rsidRPr="00EF7EED">
        <w:rPr>
          <w:i/>
          <w:iCs/>
        </w:rPr>
        <w:t>A full range of standard concentric universal and paddle plates, orifice plates for special applications and orifice plate seals to match your specific process and service environment. </w:t>
      </w:r>
      <w:r w:rsidRPr="00EF7EED">
        <w:rPr>
          <w:i/>
          <w:iCs/>
        </w:rPr>
        <w:br/>
      </w:r>
      <w:r w:rsidRPr="00EF7EED">
        <w:rPr>
          <w:i/>
          <w:iCs/>
        </w:rPr>
        <w:br/>
        <w:t>All orifice plates comply with AGA-3 / API 14.3 or ISO 5167-1 requirements for maximum accuracy. Canalta can also provide Orifice Fitting Inspection Reports, guaranteeing quality and performance.</w:t>
      </w:r>
    </w:p>
    <w:p w:rsidR="005562E8" w:rsidRPr="005562E8" w:rsidRDefault="005562E8" w:rsidP="005562E8">
      <w:pPr>
        <w:rPr>
          <w:i/>
          <w:iCs/>
        </w:rPr>
      </w:pPr>
    </w:p>
    <w:p w:rsidR="005562E8" w:rsidRPr="005562E8" w:rsidRDefault="005562E8" w:rsidP="005562E8">
      <w:pPr>
        <w:rPr>
          <w:iCs/>
        </w:rPr>
      </w:pPr>
    </w:p>
    <w:p w:rsidR="005562E8" w:rsidRPr="005562E8" w:rsidRDefault="005562E8" w:rsidP="005562E8">
      <w:pPr>
        <w:rPr>
          <w:iCs/>
        </w:rPr>
      </w:pPr>
    </w:p>
    <w:sectPr w:rsidR="005562E8" w:rsidRPr="005562E8" w:rsidSect="005562E8">
      <w:type w:val="continuous"/>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A0A37"/>
    <w:multiLevelType w:val="multilevel"/>
    <w:tmpl w:val="2B1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E8"/>
    <w:rsid w:val="00000482"/>
    <w:rsid w:val="00001091"/>
    <w:rsid w:val="00002CAD"/>
    <w:rsid w:val="000069C8"/>
    <w:rsid w:val="00012E71"/>
    <w:rsid w:val="00013E7A"/>
    <w:rsid w:val="000148AD"/>
    <w:rsid w:val="000153F0"/>
    <w:rsid w:val="00015C6D"/>
    <w:rsid w:val="00020961"/>
    <w:rsid w:val="00022D4A"/>
    <w:rsid w:val="00026281"/>
    <w:rsid w:val="0002647C"/>
    <w:rsid w:val="00031842"/>
    <w:rsid w:val="000340A6"/>
    <w:rsid w:val="00034F35"/>
    <w:rsid w:val="00036168"/>
    <w:rsid w:val="00043F96"/>
    <w:rsid w:val="00045030"/>
    <w:rsid w:val="00045C4A"/>
    <w:rsid w:val="00046B0D"/>
    <w:rsid w:val="00050AEA"/>
    <w:rsid w:val="00050E6A"/>
    <w:rsid w:val="0005179B"/>
    <w:rsid w:val="000553B9"/>
    <w:rsid w:val="0005556E"/>
    <w:rsid w:val="00057B67"/>
    <w:rsid w:val="0006134A"/>
    <w:rsid w:val="0006283B"/>
    <w:rsid w:val="00064E2C"/>
    <w:rsid w:val="00064F8E"/>
    <w:rsid w:val="00065312"/>
    <w:rsid w:val="0006564E"/>
    <w:rsid w:val="00070E15"/>
    <w:rsid w:val="00071D47"/>
    <w:rsid w:val="0007257B"/>
    <w:rsid w:val="0007394F"/>
    <w:rsid w:val="000740E5"/>
    <w:rsid w:val="00074B22"/>
    <w:rsid w:val="00080BC0"/>
    <w:rsid w:val="00081DEC"/>
    <w:rsid w:val="000820C5"/>
    <w:rsid w:val="00082466"/>
    <w:rsid w:val="000828B3"/>
    <w:rsid w:val="00083CDD"/>
    <w:rsid w:val="00094284"/>
    <w:rsid w:val="0009673A"/>
    <w:rsid w:val="0009680C"/>
    <w:rsid w:val="000A1779"/>
    <w:rsid w:val="000B131D"/>
    <w:rsid w:val="000B1D6C"/>
    <w:rsid w:val="000B2A2B"/>
    <w:rsid w:val="000B3FA2"/>
    <w:rsid w:val="000B4AF1"/>
    <w:rsid w:val="000C261E"/>
    <w:rsid w:val="000C3874"/>
    <w:rsid w:val="000C62E2"/>
    <w:rsid w:val="000C6D26"/>
    <w:rsid w:val="000C7EC8"/>
    <w:rsid w:val="000D1564"/>
    <w:rsid w:val="000D2B5F"/>
    <w:rsid w:val="000D3797"/>
    <w:rsid w:val="000D4A83"/>
    <w:rsid w:val="000D5517"/>
    <w:rsid w:val="000D59C4"/>
    <w:rsid w:val="000D7F8D"/>
    <w:rsid w:val="000E06F9"/>
    <w:rsid w:val="000E1C41"/>
    <w:rsid w:val="000E2EE9"/>
    <w:rsid w:val="000E5D8B"/>
    <w:rsid w:val="000F2A7D"/>
    <w:rsid w:val="000F6814"/>
    <w:rsid w:val="000F7EB4"/>
    <w:rsid w:val="001024A6"/>
    <w:rsid w:val="001038AA"/>
    <w:rsid w:val="00111CC9"/>
    <w:rsid w:val="00112726"/>
    <w:rsid w:val="00114DC9"/>
    <w:rsid w:val="00114F8D"/>
    <w:rsid w:val="00115A3D"/>
    <w:rsid w:val="00115B8C"/>
    <w:rsid w:val="001165E4"/>
    <w:rsid w:val="00117470"/>
    <w:rsid w:val="00117ED5"/>
    <w:rsid w:val="00120C4E"/>
    <w:rsid w:val="00123A08"/>
    <w:rsid w:val="001249D7"/>
    <w:rsid w:val="00130828"/>
    <w:rsid w:val="00131A3B"/>
    <w:rsid w:val="00134E00"/>
    <w:rsid w:val="001373C6"/>
    <w:rsid w:val="00137E69"/>
    <w:rsid w:val="001409ED"/>
    <w:rsid w:val="0014165B"/>
    <w:rsid w:val="00142A0B"/>
    <w:rsid w:val="00142F5B"/>
    <w:rsid w:val="00143449"/>
    <w:rsid w:val="00143A18"/>
    <w:rsid w:val="00143E3E"/>
    <w:rsid w:val="001453E4"/>
    <w:rsid w:val="00145D78"/>
    <w:rsid w:val="00146FE3"/>
    <w:rsid w:val="001477E3"/>
    <w:rsid w:val="001512EE"/>
    <w:rsid w:val="00154388"/>
    <w:rsid w:val="0015562E"/>
    <w:rsid w:val="001558FE"/>
    <w:rsid w:val="0016069E"/>
    <w:rsid w:val="00164CE3"/>
    <w:rsid w:val="001660FA"/>
    <w:rsid w:val="00170647"/>
    <w:rsid w:val="00171042"/>
    <w:rsid w:val="0017120C"/>
    <w:rsid w:val="00171583"/>
    <w:rsid w:val="00174F24"/>
    <w:rsid w:val="00181D76"/>
    <w:rsid w:val="00182C59"/>
    <w:rsid w:val="00183C56"/>
    <w:rsid w:val="00191F3D"/>
    <w:rsid w:val="0019373D"/>
    <w:rsid w:val="0019535B"/>
    <w:rsid w:val="001955E6"/>
    <w:rsid w:val="00196E88"/>
    <w:rsid w:val="001A19B8"/>
    <w:rsid w:val="001A207C"/>
    <w:rsid w:val="001A58BC"/>
    <w:rsid w:val="001A5B79"/>
    <w:rsid w:val="001A6B35"/>
    <w:rsid w:val="001B1A70"/>
    <w:rsid w:val="001B2927"/>
    <w:rsid w:val="001B4C22"/>
    <w:rsid w:val="001B5497"/>
    <w:rsid w:val="001B77AF"/>
    <w:rsid w:val="001C1191"/>
    <w:rsid w:val="001C23D0"/>
    <w:rsid w:val="001C36AC"/>
    <w:rsid w:val="001C3A10"/>
    <w:rsid w:val="001C78C1"/>
    <w:rsid w:val="001D0506"/>
    <w:rsid w:val="001D1D0A"/>
    <w:rsid w:val="001D2733"/>
    <w:rsid w:val="001D4DBA"/>
    <w:rsid w:val="001D518A"/>
    <w:rsid w:val="001D59F4"/>
    <w:rsid w:val="001E020A"/>
    <w:rsid w:val="001E040A"/>
    <w:rsid w:val="001E0AEC"/>
    <w:rsid w:val="001E3BF5"/>
    <w:rsid w:val="001F152F"/>
    <w:rsid w:val="001F1ACB"/>
    <w:rsid w:val="001F3482"/>
    <w:rsid w:val="001F4E0A"/>
    <w:rsid w:val="001F6496"/>
    <w:rsid w:val="001F6505"/>
    <w:rsid w:val="001F6E43"/>
    <w:rsid w:val="00202BF2"/>
    <w:rsid w:val="00205422"/>
    <w:rsid w:val="00207661"/>
    <w:rsid w:val="0021243C"/>
    <w:rsid w:val="00213BDF"/>
    <w:rsid w:val="00214CF6"/>
    <w:rsid w:val="00215FA6"/>
    <w:rsid w:val="0021720C"/>
    <w:rsid w:val="00220DBB"/>
    <w:rsid w:val="00220EEB"/>
    <w:rsid w:val="00221502"/>
    <w:rsid w:val="002232ED"/>
    <w:rsid w:val="00224ED3"/>
    <w:rsid w:val="00225E3E"/>
    <w:rsid w:val="00226897"/>
    <w:rsid w:val="00231A43"/>
    <w:rsid w:val="00231CA3"/>
    <w:rsid w:val="00233228"/>
    <w:rsid w:val="002353A3"/>
    <w:rsid w:val="002379D3"/>
    <w:rsid w:val="00237AF3"/>
    <w:rsid w:val="0024091B"/>
    <w:rsid w:val="00242782"/>
    <w:rsid w:val="00250686"/>
    <w:rsid w:val="00252AEB"/>
    <w:rsid w:val="0026042A"/>
    <w:rsid w:val="00260C51"/>
    <w:rsid w:val="002613D2"/>
    <w:rsid w:val="00262A3B"/>
    <w:rsid w:val="00264039"/>
    <w:rsid w:val="002645B9"/>
    <w:rsid w:val="00265F8D"/>
    <w:rsid w:val="002664F7"/>
    <w:rsid w:val="0026655E"/>
    <w:rsid w:val="00266CE9"/>
    <w:rsid w:val="00270624"/>
    <w:rsid w:val="00274C3C"/>
    <w:rsid w:val="00276455"/>
    <w:rsid w:val="00276B86"/>
    <w:rsid w:val="00277FE0"/>
    <w:rsid w:val="002841FB"/>
    <w:rsid w:val="002904E3"/>
    <w:rsid w:val="00297487"/>
    <w:rsid w:val="002A26CB"/>
    <w:rsid w:val="002A5B52"/>
    <w:rsid w:val="002A6402"/>
    <w:rsid w:val="002A64EF"/>
    <w:rsid w:val="002B2DAF"/>
    <w:rsid w:val="002B309C"/>
    <w:rsid w:val="002B3BCD"/>
    <w:rsid w:val="002B5C6B"/>
    <w:rsid w:val="002B650C"/>
    <w:rsid w:val="002C2BEE"/>
    <w:rsid w:val="002C2D01"/>
    <w:rsid w:val="002D24FC"/>
    <w:rsid w:val="002D4B15"/>
    <w:rsid w:val="002D6C30"/>
    <w:rsid w:val="002E03F1"/>
    <w:rsid w:val="002E2825"/>
    <w:rsid w:val="002F1EB6"/>
    <w:rsid w:val="0031092D"/>
    <w:rsid w:val="00310932"/>
    <w:rsid w:val="003114F1"/>
    <w:rsid w:val="003127FE"/>
    <w:rsid w:val="00313F4A"/>
    <w:rsid w:val="00316919"/>
    <w:rsid w:val="0032154C"/>
    <w:rsid w:val="00321B94"/>
    <w:rsid w:val="00332595"/>
    <w:rsid w:val="00333A90"/>
    <w:rsid w:val="00335203"/>
    <w:rsid w:val="00336BE2"/>
    <w:rsid w:val="00342675"/>
    <w:rsid w:val="003507A4"/>
    <w:rsid w:val="00350CFC"/>
    <w:rsid w:val="003513ED"/>
    <w:rsid w:val="00356B34"/>
    <w:rsid w:val="0036309B"/>
    <w:rsid w:val="00363217"/>
    <w:rsid w:val="00363ACE"/>
    <w:rsid w:val="00364F28"/>
    <w:rsid w:val="00366588"/>
    <w:rsid w:val="00371019"/>
    <w:rsid w:val="00372E5C"/>
    <w:rsid w:val="003757C7"/>
    <w:rsid w:val="00375988"/>
    <w:rsid w:val="00376351"/>
    <w:rsid w:val="00382BA3"/>
    <w:rsid w:val="0038553F"/>
    <w:rsid w:val="00397721"/>
    <w:rsid w:val="003A129F"/>
    <w:rsid w:val="003A4071"/>
    <w:rsid w:val="003A4879"/>
    <w:rsid w:val="003A5F72"/>
    <w:rsid w:val="003A760E"/>
    <w:rsid w:val="003A7939"/>
    <w:rsid w:val="003B17A6"/>
    <w:rsid w:val="003B245C"/>
    <w:rsid w:val="003B48DA"/>
    <w:rsid w:val="003B5282"/>
    <w:rsid w:val="003B64E2"/>
    <w:rsid w:val="003B6EC6"/>
    <w:rsid w:val="003C2B9B"/>
    <w:rsid w:val="003C370D"/>
    <w:rsid w:val="003C3775"/>
    <w:rsid w:val="003C5090"/>
    <w:rsid w:val="003C6E03"/>
    <w:rsid w:val="003C7FC2"/>
    <w:rsid w:val="003D046A"/>
    <w:rsid w:val="003D1BFE"/>
    <w:rsid w:val="003D3A1D"/>
    <w:rsid w:val="003D3F47"/>
    <w:rsid w:val="003D6D9F"/>
    <w:rsid w:val="003D7A2B"/>
    <w:rsid w:val="003E6E5A"/>
    <w:rsid w:val="003E6FA7"/>
    <w:rsid w:val="003E72F9"/>
    <w:rsid w:val="003F128D"/>
    <w:rsid w:val="003F2F60"/>
    <w:rsid w:val="003F52E5"/>
    <w:rsid w:val="00402408"/>
    <w:rsid w:val="00412BB2"/>
    <w:rsid w:val="00424841"/>
    <w:rsid w:val="00427260"/>
    <w:rsid w:val="00427B2F"/>
    <w:rsid w:val="00427B50"/>
    <w:rsid w:val="00431C89"/>
    <w:rsid w:val="0043355D"/>
    <w:rsid w:val="004355EA"/>
    <w:rsid w:val="00440370"/>
    <w:rsid w:val="00444283"/>
    <w:rsid w:val="00450556"/>
    <w:rsid w:val="00450AC5"/>
    <w:rsid w:val="004511D9"/>
    <w:rsid w:val="004532B8"/>
    <w:rsid w:val="0045430E"/>
    <w:rsid w:val="0046266D"/>
    <w:rsid w:val="004673EF"/>
    <w:rsid w:val="00471DD6"/>
    <w:rsid w:val="0047200E"/>
    <w:rsid w:val="004731CB"/>
    <w:rsid w:val="004772FB"/>
    <w:rsid w:val="0047781C"/>
    <w:rsid w:val="00481061"/>
    <w:rsid w:val="00490A67"/>
    <w:rsid w:val="00490B9C"/>
    <w:rsid w:val="004918F1"/>
    <w:rsid w:val="0049369F"/>
    <w:rsid w:val="00493EA2"/>
    <w:rsid w:val="004A20DA"/>
    <w:rsid w:val="004A2A47"/>
    <w:rsid w:val="004A2E8E"/>
    <w:rsid w:val="004B28B8"/>
    <w:rsid w:val="004B2F61"/>
    <w:rsid w:val="004B4FCA"/>
    <w:rsid w:val="004B7F91"/>
    <w:rsid w:val="004C3A83"/>
    <w:rsid w:val="004C4681"/>
    <w:rsid w:val="004C7D0F"/>
    <w:rsid w:val="004D01B2"/>
    <w:rsid w:val="004D1607"/>
    <w:rsid w:val="004D4159"/>
    <w:rsid w:val="004D4F9D"/>
    <w:rsid w:val="004D65B4"/>
    <w:rsid w:val="004E0286"/>
    <w:rsid w:val="004E2997"/>
    <w:rsid w:val="004E4EB2"/>
    <w:rsid w:val="004E6412"/>
    <w:rsid w:val="004F364F"/>
    <w:rsid w:val="004F40C0"/>
    <w:rsid w:val="004F5697"/>
    <w:rsid w:val="004F56E6"/>
    <w:rsid w:val="004F754D"/>
    <w:rsid w:val="004F7D58"/>
    <w:rsid w:val="005008F4"/>
    <w:rsid w:val="005014B6"/>
    <w:rsid w:val="00504FFB"/>
    <w:rsid w:val="00505D3F"/>
    <w:rsid w:val="005073B4"/>
    <w:rsid w:val="00510D01"/>
    <w:rsid w:val="0051457F"/>
    <w:rsid w:val="00514740"/>
    <w:rsid w:val="00514D5E"/>
    <w:rsid w:val="00516DE0"/>
    <w:rsid w:val="00521343"/>
    <w:rsid w:val="0052149D"/>
    <w:rsid w:val="0052284A"/>
    <w:rsid w:val="005240E2"/>
    <w:rsid w:val="00526EE6"/>
    <w:rsid w:val="00530A56"/>
    <w:rsid w:val="00530DB5"/>
    <w:rsid w:val="00531368"/>
    <w:rsid w:val="00531C15"/>
    <w:rsid w:val="0053623D"/>
    <w:rsid w:val="005424F3"/>
    <w:rsid w:val="00542A3B"/>
    <w:rsid w:val="0054313A"/>
    <w:rsid w:val="00543780"/>
    <w:rsid w:val="00543793"/>
    <w:rsid w:val="00543C01"/>
    <w:rsid w:val="00543E8F"/>
    <w:rsid w:val="005458B7"/>
    <w:rsid w:val="005500D3"/>
    <w:rsid w:val="00552F7B"/>
    <w:rsid w:val="00554D05"/>
    <w:rsid w:val="005562E8"/>
    <w:rsid w:val="00557AC8"/>
    <w:rsid w:val="0056020C"/>
    <w:rsid w:val="005615EA"/>
    <w:rsid w:val="0056239F"/>
    <w:rsid w:val="005628F0"/>
    <w:rsid w:val="005629C5"/>
    <w:rsid w:val="00563858"/>
    <w:rsid w:val="0056416F"/>
    <w:rsid w:val="005646DC"/>
    <w:rsid w:val="00565358"/>
    <w:rsid w:val="00567347"/>
    <w:rsid w:val="0057220B"/>
    <w:rsid w:val="005726BD"/>
    <w:rsid w:val="00572721"/>
    <w:rsid w:val="00575C15"/>
    <w:rsid w:val="00576344"/>
    <w:rsid w:val="00583DDF"/>
    <w:rsid w:val="00585382"/>
    <w:rsid w:val="00585735"/>
    <w:rsid w:val="00586119"/>
    <w:rsid w:val="00586805"/>
    <w:rsid w:val="00586A78"/>
    <w:rsid w:val="005906A1"/>
    <w:rsid w:val="00590A84"/>
    <w:rsid w:val="0059367F"/>
    <w:rsid w:val="005940B1"/>
    <w:rsid w:val="005A0414"/>
    <w:rsid w:val="005A1B9A"/>
    <w:rsid w:val="005A35DC"/>
    <w:rsid w:val="005A45C4"/>
    <w:rsid w:val="005A5196"/>
    <w:rsid w:val="005A5DD3"/>
    <w:rsid w:val="005A6323"/>
    <w:rsid w:val="005A6C5A"/>
    <w:rsid w:val="005B1420"/>
    <w:rsid w:val="005B1F30"/>
    <w:rsid w:val="005B345E"/>
    <w:rsid w:val="005B40AE"/>
    <w:rsid w:val="005B4B15"/>
    <w:rsid w:val="005B5A5D"/>
    <w:rsid w:val="005B7CAE"/>
    <w:rsid w:val="005C15CC"/>
    <w:rsid w:val="005C3701"/>
    <w:rsid w:val="005C5BD1"/>
    <w:rsid w:val="005D04E3"/>
    <w:rsid w:val="005D3353"/>
    <w:rsid w:val="005D6404"/>
    <w:rsid w:val="005E07FB"/>
    <w:rsid w:val="005E2082"/>
    <w:rsid w:val="005E3479"/>
    <w:rsid w:val="005E39F9"/>
    <w:rsid w:val="005E7609"/>
    <w:rsid w:val="005F561B"/>
    <w:rsid w:val="005F6BB6"/>
    <w:rsid w:val="005F777A"/>
    <w:rsid w:val="005F7D70"/>
    <w:rsid w:val="00602A94"/>
    <w:rsid w:val="00603A07"/>
    <w:rsid w:val="00610B5B"/>
    <w:rsid w:val="0061130D"/>
    <w:rsid w:val="006146D2"/>
    <w:rsid w:val="00617BA7"/>
    <w:rsid w:val="00620275"/>
    <w:rsid w:val="006205C9"/>
    <w:rsid w:val="00621F5B"/>
    <w:rsid w:val="0062505F"/>
    <w:rsid w:val="00625BA3"/>
    <w:rsid w:val="00627988"/>
    <w:rsid w:val="0063050A"/>
    <w:rsid w:val="00633615"/>
    <w:rsid w:val="0063427D"/>
    <w:rsid w:val="006359F4"/>
    <w:rsid w:val="006404C0"/>
    <w:rsid w:val="006425D3"/>
    <w:rsid w:val="00642D69"/>
    <w:rsid w:val="00643505"/>
    <w:rsid w:val="006440D7"/>
    <w:rsid w:val="00644539"/>
    <w:rsid w:val="00647395"/>
    <w:rsid w:val="0065051E"/>
    <w:rsid w:val="006508C0"/>
    <w:rsid w:val="006508EB"/>
    <w:rsid w:val="00650D38"/>
    <w:rsid w:val="00651C5F"/>
    <w:rsid w:val="006526D0"/>
    <w:rsid w:val="0066236E"/>
    <w:rsid w:val="00663C1E"/>
    <w:rsid w:val="0066721B"/>
    <w:rsid w:val="00667A90"/>
    <w:rsid w:val="00670957"/>
    <w:rsid w:val="00674CA4"/>
    <w:rsid w:val="0067539C"/>
    <w:rsid w:val="0067556E"/>
    <w:rsid w:val="00675974"/>
    <w:rsid w:val="0067634F"/>
    <w:rsid w:val="00677FB2"/>
    <w:rsid w:val="00682332"/>
    <w:rsid w:val="006857DF"/>
    <w:rsid w:val="00696C3F"/>
    <w:rsid w:val="00696E8A"/>
    <w:rsid w:val="00696EC5"/>
    <w:rsid w:val="006976AE"/>
    <w:rsid w:val="00697EB4"/>
    <w:rsid w:val="006A69EC"/>
    <w:rsid w:val="006B35C7"/>
    <w:rsid w:val="006B611F"/>
    <w:rsid w:val="006B6DFC"/>
    <w:rsid w:val="006B7798"/>
    <w:rsid w:val="006C06C7"/>
    <w:rsid w:val="006C2BF9"/>
    <w:rsid w:val="006C5CA6"/>
    <w:rsid w:val="006D0B9E"/>
    <w:rsid w:val="006D0CEF"/>
    <w:rsid w:val="006D5621"/>
    <w:rsid w:val="006D589A"/>
    <w:rsid w:val="006E068D"/>
    <w:rsid w:val="006E2FED"/>
    <w:rsid w:val="006F4742"/>
    <w:rsid w:val="006F7B39"/>
    <w:rsid w:val="0070012A"/>
    <w:rsid w:val="0070376C"/>
    <w:rsid w:val="00703C6D"/>
    <w:rsid w:val="00704119"/>
    <w:rsid w:val="00704253"/>
    <w:rsid w:val="0070738C"/>
    <w:rsid w:val="0071067F"/>
    <w:rsid w:val="00713B43"/>
    <w:rsid w:val="007162AC"/>
    <w:rsid w:val="00716B18"/>
    <w:rsid w:val="00717838"/>
    <w:rsid w:val="00722B2C"/>
    <w:rsid w:val="007238CC"/>
    <w:rsid w:val="00725B97"/>
    <w:rsid w:val="00725D9E"/>
    <w:rsid w:val="00731627"/>
    <w:rsid w:val="0073587C"/>
    <w:rsid w:val="00736D02"/>
    <w:rsid w:val="007452C6"/>
    <w:rsid w:val="0074602C"/>
    <w:rsid w:val="0074672D"/>
    <w:rsid w:val="007508B8"/>
    <w:rsid w:val="00751F76"/>
    <w:rsid w:val="0075349C"/>
    <w:rsid w:val="00755B67"/>
    <w:rsid w:val="00755F16"/>
    <w:rsid w:val="0076108B"/>
    <w:rsid w:val="00766B0C"/>
    <w:rsid w:val="007677E3"/>
    <w:rsid w:val="00767E9B"/>
    <w:rsid w:val="00771CCB"/>
    <w:rsid w:val="00772778"/>
    <w:rsid w:val="0077376C"/>
    <w:rsid w:val="00774EE6"/>
    <w:rsid w:val="00775C3A"/>
    <w:rsid w:val="00780272"/>
    <w:rsid w:val="0078417D"/>
    <w:rsid w:val="00784198"/>
    <w:rsid w:val="007977CC"/>
    <w:rsid w:val="007A14F1"/>
    <w:rsid w:val="007B02FE"/>
    <w:rsid w:val="007B146A"/>
    <w:rsid w:val="007B1AB4"/>
    <w:rsid w:val="007B2B5E"/>
    <w:rsid w:val="007C3FC3"/>
    <w:rsid w:val="007C40DD"/>
    <w:rsid w:val="007C52F4"/>
    <w:rsid w:val="007C6FE1"/>
    <w:rsid w:val="007D0DD5"/>
    <w:rsid w:val="007D256B"/>
    <w:rsid w:val="007D2A27"/>
    <w:rsid w:val="007D4707"/>
    <w:rsid w:val="007D4910"/>
    <w:rsid w:val="007D5380"/>
    <w:rsid w:val="007D5E1D"/>
    <w:rsid w:val="007D6C27"/>
    <w:rsid w:val="007D7106"/>
    <w:rsid w:val="007E1EB3"/>
    <w:rsid w:val="007E3215"/>
    <w:rsid w:val="007E3E68"/>
    <w:rsid w:val="007E401F"/>
    <w:rsid w:val="007E7799"/>
    <w:rsid w:val="007F1144"/>
    <w:rsid w:val="007F12F3"/>
    <w:rsid w:val="007F1F43"/>
    <w:rsid w:val="00801BCD"/>
    <w:rsid w:val="008048A1"/>
    <w:rsid w:val="008067B8"/>
    <w:rsid w:val="008104D9"/>
    <w:rsid w:val="00813025"/>
    <w:rsid w:val="00813206"/>
    <w:rsid w:val="00813FA5"/>
    <w:rsid w:val="008150A4"/>
    <w:rsid w:val="00817DB0"/>
    <w:rsid w:val="008206DB"/>
    <w:rsid w:val="00823707"/>
    <w:rsid w:val="008260DA"/>
    <w:rsid w:val="008263A9"/>
    <w:rsid w:val="00826C1A"/>
    <w:rsid w:val="00826EE5"/>
    <w:rsid w:val="00827AA0"/>
    <w:rsid w:val="00827D73"/>
    <w:rsid w:val="008339B6"/>
    <w:rsid w:val="00840DE8"/>
    <w:rsid w:val="0084282D"/>
    <w:rsid w:val="00846F74"/>
    <w:rsid w:val="008526DA"/>
    <w:rsid w:val="0085459F"/>
    <w:rsid w:val="00854800"/>
    <w:rsid w:val="00854C62"/>
    <w:rsid w:val="00854DDA"/>
    <w:rsid w:val="008574BB"/>
    <w:rsid w:val="00860CFB"/>
    <w:rsid w:val="00861750"/>
    <w:rsid w:val="008618C7"/>
    <w:rsid w:val="0086438C"/>
    <w:rsid w:val="008647E3"/>
    <w:rsid w:val="00864F91"/>
    <w:rsid w:val="00865DE0"/>
    <w:rsid w:val="008700DC"/>
    <w:rsid w:val="008700EA"/>
    <w:rsid w:val="008707E7"/>
    <w:rsid w:val="0087481F"/>
    <w:rsid w:val="00876F65"/>
    <w:rsid w:val="008775D1"/>
    <w:rsid w:val="00877EFD"/>
    <w:rsid w:val="00880370"/>
    <w:rsid w:val="008814FD"/>
    <w:rsid w:val="00881DA7"/>
    <w:rsid w:val="008829F1"/>
    <w:rsid w:val="008831BC"/>
    <w:rsid w:val="00883FBC"/>
    <w:rsid w:val="008870DF"/>
    <w:rsid w:val="00887B61"/>
    <w:rsid w:val="00890BAC"/>
    <w:rsid w:val="008944C1"/>
    <w:rsid w:val="008958E9"/>
    <w:rsid w:val="008968B8"/>
    <w:rsid w:val="008A0C67"/>
    <w:rsid w:val="008A2969"/>
    <w:rsid w:val="008A60F1"/>
    <w:rsid w:val="008A6FA3"/>
    <w:rsid w:val="008A7EE4"/>
    <w:rsid w:val="008B46A0"/>
    <w:rsid w:val="008B5768"/>
    <w:rsid w:val="008B6DC5"/>
    <w:rsid w:val="008C20DA"/>
    <w:rsid w:val="008C3ABF"/>
    <w:rsid w:val="008D0D20"/>
    <w:rsid w:val="008D3BDB"/>
    <w:rsid w:val="008D57ED"/>
    <w:rsid w:val="008D6CEA"/>
    <w:rsid w:val="008E0A47"/>
    <w:rsid w:val="008E0C76"/>
    <w:rsid w:val="008E2044"/>
    <w:rsid w:val="008E2BC8"/>
    <w:rsid w:val="008E2FDD"/>
    <w:rsid w:val="008E555C"/>
    <w:rsid w:val="008E5B17"/>
    <w:rsid w:val="008E5BE2"/>
    <w:rsid w:val="008E6661"/>
    <w:rsid w:val="008E73B8"/>
    <w:rsid w:val="008F04C8"/>
    <w:rsid w:val="008F2E39"/>
    <w:rsid w:val="008F37F3"/>
    <w:rsid w:val="008F4A98"/>
    <w:rsid w:val="009021C8"/>
    <w:rsid w:val="009029D4"/>
    <w:rsid w:val="009035A3"/>
    <w:rsid w:val="009045A4"/>
    <w:rsid w:val="0091257C"/>
    <w:rsid w:val="009137ED"/>
    <w:rsid w:val="009172C0"/>
    <w:rsid w:val="00920916"/>
    <w:rsid w:val="00920ACD"/>
    <w:rsid w:val="00920D1A"/>
    <w:rsid w:val="00920DCA"/>
    <w:rsid w:val="00924770"/>
    <w:rsid w:val="009249A4"/>
    <w:rsid w:val="00925A44"/>
    <w:rsid w:val="00926B4D"/>
    <w:rsid w:val="009306D5"/>
    <w:rsid w:val="00931139"/>
    <w:rsid w:val="0093274B"/>
    <w:rsid w:val="00935457"/>
    <w:rsid w:val="00935B97"/>
    <w:rsid w:val="009361C2"/>
    <w:rsid w:val="00937A69"/>
    <w:rsid w:val="00940125"/>
    <w:rsid w:val="00941D00"/>
    <w:rsid w:val="00942250"/>
    <w:rsid w:val="00943132"/>
    <w:rsid w:val="00943CC1"/>
    <w:rsid w:val="00945390"/>
    <w:rsid w:val="0094554D"/>
    <w:rsid w:val="0094686F"/>
    <w:rsid w:val="00947C18"/>
    <w:rsid w:val="00951A36"/>
    <w:rsid w:val="00951CD5"/>
    <w:rsid w:val="00953007"/>
    <w:rsid w:val="00954874"/>
    <w:rsid w:val="009556E0"/>
    <w:rsid w:val="00955BB7"/>
    <w:rsid w:val="00956BB0"/>
    <w:rsid w:val="00956E8B"/>
    <w:rsid w:val="00960083"/>
    <w:rsid w:val="00961F7B"/>
    <w:rsid w:val="00962032"/>
    <w:rsid w:val="00971616"/>
    <w:rsid w:val="00976486"/>
    <w:rsid w:val="00980252"/>
    <w:rsid w:val="009821A8"/>
    <w:rsid w:val="00983133"/>
    <w:rsid w:val="00984478"/>
    <w:rsid w:val="0098524C"/>
    <w:rsid w:val="00987353"/>
    <w:rsid w:val="00987BA7"/>
    <w:rsid w:val="009922AF"/>
    <w:rsid w:val="009935E7"/>
    <w:rsid w:val="009A3F5C"/>
    <w:rsid w:val="009A4583"/>
    <w:rsid w:val="009A5630"/>
    <w:rsid w:val="009B34F0"/>
    <w:rsid w:val="009B3955"/>
    <w:rsid w:val="009B6054"/>
    <w:rsid w:val="009C36F9"/>
    <w:rsid w:val="009D2112"/>
    <w:rsid w:val="009D2ADC"/>
    <w:rsid w:val="009D5E54"/>
    <w:rsid w:val="009E708E"/>
    <w:rsid w:val="009E7762"/>
    <w:rsid w:val="009F678B"/>
    <w:rsid w:val="009F6921"/>
    <w:rsid w:val="00A0531A"/>
    <w:rsid w:val="00A06E5A"/>
    <w:rsid w:val="00A12EA2"/>
    <w:rsid w:val="00A165DB"/>
    <w:rsid w:val="00A2092A"/>
    <w:rsid w:val="00A23905"/>
    <w:rsid w:val="00A23D15"/>
    <w:rsid w:val="00A30689"/>
    <w:rsid w:val="00A32CDA"/>
    <w:rsid w:val="00A331BE"/>
    <w:rsid w:val="00A36058"/>
    <w:rsid w:val="00A36124"/>
    <w:rsid w:val="00A44264"/>
    <w:rsid w:val="00A500DF"/>
    <w:rsid w:val="00A5309A"/>
    <w:rsid w:val="00A66663"/>
    <w:rsid w:val="00A752F2"/>
    <w:rsid w:val="00A75597"/>
    <w:rsid w:val="00A76EEA"/>
    <w:rsid w:val="00A80D57"/>
    <w:rsid w:val="00A83718"/>
    <w:rsid w:val="00A87865"/>
    <w:rsid w:val="00A91DF3"/>
    <w:rsid w:val="00A926F0"/>
    <w:rsid w:val="00A93AC4"/>
    <w:rsid w:val="00A9424F"/>
    <w:rsid w:val="00A958E1"/>
    <w:rsid w:val="00A95B97"/>
    <w:rsid w:val="00AA1C4D"/>
    <w:rsid w:val="00AA2479"/>
    <w:rsid w:val="00AA3C43"/>
    <w:rsid w:val="00AA411C"/>
    <w:rsid w:val="00AA6393"/>
    <w:rsid w:val="00AB2051"/>
    <w:rsid w:val="00AB5B14"/>
    <w:rsid w:val="00AB6B9C"/>
    <w:rsid w:val="00AC00F5"/>
    <w:rsid w:val="00AC1BDF"/>
    <w:rsid w:val="00AC3C14"/>
    <w:rsid w:val="00AC59E1"/>
    <w:rsid w:val="00AC7F8F"/>
    <w:rsid w:val="00AD15BF"/>
    <w:rsid w:val="00AD2096"/>
    <w:rsid w:val="00AD2A83"/>
    <w:rsid w:val="00AD2E6B"/>
    <w:rsid w:val="00AD3C0F"/>
    <w:rsid w:val="00AE37D8"/>
    <w:rsid w:val="00AE4088"/>
    <w:rsid w:val="00AF1DE4"/>
    <w:rsid w:val="00AF27AE"/>
    <w:rsid w:val="00AF39C5"/>
    <w:rsid w:val="00AF7DA0"/>
    <w:rsid w:val="00B00AD7"/>
    <w:rsid w:val="00B04965"/>
    <w:rsid w:val="00B062CB"/>
    <w:rsid w:val="00B1243E"/>
    <w:rsid w:val="00B13382"/>
    <w:rsid w:val="00B16FFF"/>
    <w:rsid w:val="00B213A7"/>
    <w:rsid w:val="00B254E6"/>
    <w:rsid w:val="00B2756D"/>
    <w:rsid w:val="00B30735"/>
    <w:rsid w:val="00B30B69"/>
    <w:rsid w:val="00B31AA4"/>
    <w:rsid w:val="00B325CB"/>
    <w:rsid w:val="00B32D4C"/>
    <w:rsid w:val="00B34DBA"/>
    <w:rsid w:val="00B35FF5"/>
    <w:rsid w:val="00B44098"/>
    <w:rsid w:val="00B51F97"/>
    <w:rsid w:val="00B54949"/>
    <w:rsid w:val="00B56AA6"/>
    <w:rsid w:val="00B606F3"/>
    <w:rsid w:val="00B6336A"/>
    <w:rsid w:val="00B63757"/>
    <w:rsid w:val="00B65073"/>
    <w:rsid w:val="00B67EB6"/>
    <w:rsid w:val="00B71E23"/>
    <w:rsid w:val="00B7233E"/>
    <w:rsid w:val="00B728E9"/>
    <w:rsid w:val="00B72B65"/>
    <w:rsid w:val="00B7496B"/>
    <w:rsid w:val="00B75E94"/>
    <w:rsid w:val="00B7786E"/>
    <w:rsid w:val="00B77EB2"/>
    <w:rsid w:val="00B8130F"/>
    <w:rsid w:val="00B81497"/>
    <w:rsid w:val="00B821AD"/>
    <w:rsid w:val="00B8599E"/>
    <w:rsid w:val="00B85E02"/>
    <w:rsid w:val="00B86546"/>
    <w:rsid w:val="00B87BF7"/>
    <w:rsid w:val="00B90662"/>
    <w:rsid w:val="00B9357F"/>
    <w:rsid w:val="00B935F9"/>
    <w:rsid w:val="00B96F5B"/>
    <w:rsid w:val="00BA05C8"/>
    <w:rsid w:val="00BA0692"/>
    <w:rsid w:val="00BA1184"/>
    <w:rsid w:val="00BA6578"/>
    <w:rsid w:val="00BA7961"/>
    <w:rsid w:val="00BB278D"/>
    <w:rsid w:val="00BB46A8"/>
    <w:rsid w:val="00BB60E0"/>
    <w:rsid w:val="00BB7C5C"/>
    <w:rsid w:val="00BC26DA"/>
    <w:rsid w:val="00BC6BEC"/>
    <w:rsid w:val="00BD128C"/>
    <w:rsid w:val="00BD2AEA"/>
    <w:rsid w:val="00BD2C7C"/>
    <w:rsid w:val="00BD60AF"/>
    <w:rsid w:val="00BE132F"/>
    <w:rsid w:val="00BE2970"/>
    <w:rsid w:val="00BE38DC"/>
    <w:rsid w:val="00BE48EB"/>
    <w:rsid w:val="00BE707E"/>
    <w:rsid w:val="00BF1235"/>
    <w:rsid w:val="00BF2214"/>
    <w:rsid w:val="00BF4CA3"/>
    <w:rsid w:val="00BF7159"/>
    <w:rsid w:val="00BF7190"/>
    <w:rsid w:val="00C00D9B"/>
    <w:rsid w:val="00C04B05"/>
    <w:rsid w:val="00C07ED7"/>
    <w:rsid w:val="00C12F48"/>
    <w:rsid w:val="00C14AF6"/>
    <w:rsid w:val="00C1665F"/>
    <w:rsid w:val="00C23CFF"/>
    <w:rsid w:val="00C247B7"/>
    <w:rsid w:val="00C2766E"/>
    <w:rsid w:val="00C27FB7"/>
    <w:rsid w:val="00C30ADA"/>
    <w:rsid w:val="00C321C2"/>
    <w:rsid w:val="00C341A9"/>
    <w:rsid w:val="00C345A5"/>
    <w:rsid w:val="00C34C59"/>
    <w:rsid w:val="00C370CF"/>
    <w:rsid w:val="00C41CD9"/>
    <w:rsid w:val="00C422A0"/>
    <w:rsid w:val="00C44759"/>
    <w:rsid w:val="00C4517B"/>
    <w:rsid w:val="00C45FAC"/>
    <w:rsid w:val="00C548E5"/>
    <w:rsid w:val="00C60851"/>
    <w:rsid w:val="00C62787"/>
    <w:rsid w:val="00C6373F"/>
    <w:rsid w:val="00C6666B"/>
    <w:rsid w:val="00C66D0C"/>
    <w:rsid w:val="00C67E3A"/>
    <w:rsid w:val="00C710E7"/>
    <w:rsid w:val="00C71AC5"/>
    <w:rsid w:val="00C7304E"/>
    <w:rsid w:val="00C760A9"/>
    <w:rsid w:val="00C77509"/>
    <w:rsid w:val="00C809E2"/>
    <w:rsid w:val="00C85971"/>
    <w:rsid w:val="00C866BB"/>
    <w:rsid w:val="00C91508"/>
    <w:rsid w:val="00C9264D"/>
    <w:rsid w:val="00C93060"/>
    <w:rsid w:val="00C93F4B"/>
    <w:rsid w:val="00C9411F"/>
    <w:rsid w:val="00CA0130"/>
    <w:rsid w:val="00CA4474"/>
    <w:rsid w:val="00CB05DA"/>
    <w:rsid w:val="00CB1EF0"/>
    <w:rsid w:val="00CB28C2"/>
    <w:rsid w:val="00CB4584"/>
    <w:rsid w:val="00CC05B3"/>
    <w:rsid w:val="00CC0BEE"/>
    <w:rsid w:val="00CC1A42"/>
    <w:rsid w:val="00CC1DDB"/>
    <w:rsid w:val="00CC2919"/>
    <w:rsid w:val="00CC5AE0"/>
    <w:rsid w:val="00CD1B77"/>
    <w:rsid w:val="00CD67DC"/>
    <w:rsid w:val="00CE0FE3"/>
    <w:rsid w:val="00CE1D12"/>
    <w:rsid w:val="00CE23C2"/>
    <w:rsid w:val="00CE3CE0"/>
    <w:rsid w:val="00CE567E"/>
    <w:rsid w:val="00CE63D8"/>
    <w:rsid w:val="00CE6765"/>
    <w:rsid w:val="00CE7586"/>
    <w:rsid w:val="00CF3487"/>
    <w:rsid w:val="00CF3952"/>
    <w:rsid w:val="00CF5445"/>
    <w:rsid w:val="00D022C6"/>
    <w:rsid w:val="00D0269D"/>
    <w:rsid w:val="00D10255"/>
    <w:rsid w:val="00D11225"/>
    <w:rsid w:val="00D160D8"/>
    <w:rsid w:val="00D22B5F"/>
    <w:rsid w:val="00D26081"/>
    <w:rsid w:val="00D26ECB"/>
    <w:rsid w:val="00D30E37"/>
    <w:rsid w:val="00D347E0"/>
    <w:rsid w:val="00D34885"/>
    <w:rsid w:val="00D351F6"/>
    <w:rsid w:val="00D360E3"/>
    <w:rsid w:val="00D37B89"/>
    <w:rsid w:val="00D4183D"/>
    <w:rsid w:val="00D4352E"/>
    <w:rsid w:val="00D46E4D"/>
    <w:rsid w:val="00D4778C"/>
    <w:rsid w:val="00D500F8"/>
    <w:rsid w:val="00D501F2"/>
    <w:rsid w:val="00D521B0"/>
    <w:rsid w:val="00D60062"/>
    <w:rsid w:val="00D6237C"/>
    <w:rsid w:val="00D6350F"/>
    <w:rsid w:val="00D636F9"/>
    <w:rsid w:val="00D63CE1"/>
    <w:rsid w:val="00D717BC"/>
    <w:rsid w:val="00D7379E"/>
    <w:rsid w:val="00D75EB0"/>
    <w:rsid w:val="00D80948"/>
    <w:rsid w:val="00D83FBD"/>
    <w:rsid w:val="00D848A5"/>
    <w:rsid w:val="00D85CEC"/>
    <w:rsid w:val="00D90C7A"/>
    <w:rsid w:val="00D936DC"/>
    <w:rsid w:val="00D94020"/>
    <w:rsid w:val="00D95B9F"/>
    <w:rsid w:val="00D96C8E"/>
    <w:rsid w:val="00DA6EC9"/>
    <w:rsid w:val="00DB2B14"/>
    <w:rsid w:val="00DB3F5F"/>
    <w:rsid w:val="00DB4B82"/>
    <w:rsid w:val="00DC05F0"/>
    <w:rsid w:val="00DC391F"/>
    <w:rsid w:val="00DC4293"/>
    <w:rsid w:val="00DD60B7"/>
    <w:rsid w:val="00DE23F6"/>
    <w:rsid w:val="00DE2981"/>
    <w:rsid w:val="00DE2F4D"/>
    <w:rsid w:val="00DE6A8B"/>
    <w:rsid w:val="00DF1A40"/>
    <w:rsid w:val="00DF2FAE"/>
    <w:rsid w:val="00DF3176"/>
    <w:rsid w:val="00DF3C4C"/>
    <w:rsid w:val="00DF4A04"/>
    <w:rsid w:val="00E04717"/>
    <w:rsid w:val="00E127F0"/>
    <w:rsid w:val="00E12ABE"/>
    <w:rsid w:val="00E1314B"/>
    <w:rsid w:val="00E13D50"/>
    <w:rsid w:val="00E14204"/>
    <w:rsid w:val="00E16445"/>
    <w:rsid w:val="00E16F87"/>
    <w:rsid w:val="00E2244F"/>
    <w:rsid w:val="00E228D5"/>
    <w:rsid w:val="00E257D6"/>
    <w:rsid w:val="00E26252"/>
    <w:rsid w:val="00E262FE"/>
    <w:rsid w:val="00E2653B"/>
    <w:rsid w:val="00E26DF6"/>
    <w:rsid w:val="00E27235"/>
    <w:rsid w:val="00E30BEC"/>
    <w:rsid w:val="00E330E7"/>
    <w:rsid w:val="00E33688"/>
    <w:rsid w:val="00E35A8D"/>
    <w:rsid w:val="00E42166"/>
    <w:rsid w:val="00E4496D"/>
    <w:rsid w:val="00E45F5B"/>
    <w:rsid w:val="00E47705"/>
    <w:rsid w:val="00E50A3C"/>
    <w:rsid w:val="00E52DFB"/>
    <w:rsid w:val="00E53487"/>
    <w:rsid w:val="00E54E88"/>
    <w:rsid w:val="00E606AB"/>
    <w:rsid w:val="00E6296D"/>
    <w:rsid w:val="00E66C8C"/>
    <w:rsid w:val="00E67362"/>
    <w:rsid w:val="00E677BE"/>
    <w:rsid w:val="00E7727B"/>
    <w:rsid w:val="00E77838"/>
    <w:rsid w:val="00E86A6E"/>
    <w:rsid w:val="00E92F16"/>
    <w:rsid w:val="00E93C77"/>
    <w:rsid w:val="00E94781"/>
    <w:rsid w:val="00E96942"/>
    <w:rsid w:val="00E974F9"/>
    <w:rsid w:val="00EA51E2"/>
    <w:rsid w:val="00EA72A8"/>
    <w:rsid w:val="00EB4EC5"/>
    <w:rsid w:val="00EB7364"/>
    <w:rsid w:val="00EC3465"/>
    <w:rsid w:val="00EC519A"/>
    <w:rsid w:val="00ED13D2"/>
    <w:rsid w:val="00ED19C8"/>
    <w:rsid w:val="00ED369B"/>
    <w:rsid w:val="00ED3D02"/>
    <w:rsid w:val="00ED5565"/>
    <w:rsid w:val="00EE05B8"/>
    <w:rsid w:val="00EE2A66"/>
    <w:rsid w:val="00EE4214"/>
    <w:rsid w:val="00EE61DE"/>
    <w:rsid w:val="00EF28AC"/>
    <w:rsid w:val="00EF3E7C"/>
    <w:rsid w:val="00EF725C"/>
    <w:rsid w:val="00EF7EED"/>
    <w:rsid w:val="00F01138"/>
    <w:rsid w:val="00F014D5"/>
    <w:rsid w:val="00F04EAB"/>
    <w:rsid w:val="00F04EDF"/>
    <w:rsid w:val="00F0569B"/>
    <w:rsid w:val="00F05D9A"/>
    <w:rsid w:val="00F06F79"/>
    <w:rsid w:val="00F075E7"/>
    <w:rsid w:val="00F1105C"/>
    <w:rsid w:val="00F12B3E"/>
    <w:rsid w:val="00F15291"/>
    <w:rsid w:val="00F21299"/>
    <w:rsid w:val="00F21740"/>
    <w:rsid w:val="00F23FAC"/>
    <w:rsid w:val="00F24044"/>
    <w:rsid w:val="00F243A8"/>
    <w:rsid w:val="00F252B4"/>
    <w:rsid w:val="00F254C2"/>
    <w:rsid w:val="00F30453"/>
    <w:rsid w:val="00F30D90"/>
    <w:rsid w:val="00F3148D"/>
    <w:rsid w:val="00F32EBA"/>
    <w:rsid w:val="00F375E0"/>
    <w:rsid w:val="00F37C43"/>
    <w:rsid w:val="00F54099"/>
    <w:rsid w:val="00F55166"/>
    <w:rsid w:val="00F61AD4"/>
    <w:rsid w:val="00F6253B"/>
    <w:rsid w:val="00F626D9"/>
    <w:rsid w:val="00F62BDD"/>
    <w:rsid w:val="00F632A1"/>
    <w:rsid w:val="00F64385"/>
    <w:rsid w:val="00F65DD2"/>
    <w:rsid w:val="00F66F26"/>
    <w:rsid w:val="00F710F5"/>
    <w:rsid w:val="00F71B89"/>
    <w:rsid w:val="00F76A96"/>
    <w:rsid w:val="00F77EE9"/>
    <w:rsid w:val="00F838E6"/>
    <w:rsid w:val="00F849E5"/>
    <w:rsid w:val="00F85CBB"/>
    <w:rsid w:val="00F86425"/>
    <w:rsid w:val="00F9033F"/>
    <w:rsid w:val="00F91B4B"/>
    <w:rsid w:val="00F91D19"/>
    <w:rsid w:val="00F9387B"/>
    <w:rsid w:val="00F9573C"/>
    <w:rsid w:val="00F96F87"/>
    <w:rsid w:val="00F97A7E"/>
    <w:rsid w:val="00FA0A1C"/>
    <w:rsid w:val="00FA3519"/>
    <w:rsid w:val="00FB2F89"/>
    <w:rsid w:val="00FB3402"/>
    <w:rsid w:val="00FB6755"/>
    <w:rsid w:val="00FB7E3E"/>
    <w:rsid w:val="00FD08D5"/>
    <w:rsid w:val="00FD0E40"/>
    <w:rsid w:val="00FD1C52"/>
    <w:rsid w:val="00FD262F"/>
    <w:rsid w:val="00FD2933"/>
    <w:rsid w:val="00FD6238"/>
    <w:rsid w:val="00FD6AD9"/>
    <w:rsid w:val="00FD790F"/>
    <w:rsid w:val="00FE040D"/>
    <w:rsid w:val="00FE2C4F"/>
    <w:rsid w:val="00FE3A34"/>
    <w:rsid w:val="00FE4324"/>
    <w:rsid w:val="00FE5077"/>
    <w:rsid w:val="00FE64AB"/>
    <w:rsid w:val="00FF28D0"/>
    <w:rsid w:val="00FF2A0E"/>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2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3983">
      <w:bodyDiv w:val="1"/>
      <w:marLeft w:val="0"/>
      <w:marRight w:val="0"/>
      <w:marTop w:val="0"/>
      <w:marBottom w:val="0"/>
      <w:divBdr>
        <w:top w:val="none" w:sz="0" w:space="0" w:color="auto"/>
        <w:left w:val="none" w:sz="0" w:space="0" w:color="auto"/>
        <w:bottom w:val="none" w:sz="0" w:space="0" w:color="auto"/>
        <w:right w:val="none" w:sz="0" w:space="0" w:color="auto"/>
      </w:divBdr>
      <w:divsChild>
        <w:div w:id="1188637704">
          <w:marLeft w:val="0"/>
          <w:marRight w:val="0"/>
          <w:marTop w:val="0"/>
          <w:marBottom w:val="0"/>
          <w:divBdr>
            <w:top w:val="none" w:sz="0" w:space="0" w:color="auto"/>
            <w:left w:val="none" w:sz="0" w:space="0" w:color="auto"/>
            <w:bottom w:val="none" w:sz="0" w:space="0" w:color="auto"/>
            <w:right w:val="none" w:sz="0" w:space="0" w:color="auto"/>
          </w:divBdr>
        </w:div>
      </w:divsChild>
    </w:div>
    <w:div w:id="328875242">
      <w:bodyDiv w:val="1"/>
      <w:marLeft w:val="0"/>
      <w:marRight w:val="0"/>
      <w:marTop w:val="0"/>
      <w:marBottom w:val="0"/>
      <w:divBdr>
        <w:top w:val="none" w:sz="0" w:space="0" w:color="auto"/>
        <w:left w:val="none" w:sz="0" w:space="0" w:color="auto"/>
        <w:bottom w:val="none" w:sz="0" w:space="0" w:color="auto"/>
        <w:right w:val="none" w:sz="0" w:space="0" w:color="auto"/>
      </w:divBdr>
    </w:div>
    <w:div w:id="342706558">
      <w:bodyDiv w:val="1"/>
      <w:marLeft w:val="0"/>
      <w:marRight w:val="0"/>
      <w:marTop w:val="0"/>
      <w:marBottom w:val="0"/>
      <w:divBdr>
        <w:top w:val="none" w:sz="0" w:space="0" w:color="auto"/>
        <w:left w:val="none" w:sz="0" w:space="0" w:color="auto"/>
        <w:bottom w:val="none" w:sz="0" w:space="0" w:color="auto"/>
        <w:right w:val="none" w:sz="0" w:space="0" w:color="auto"/>
      </w:divBdr>
    </w:div>
    <w:div w:id="356395703">
      <w:bodyDiv w:val="1"/>
      <w:marLeft w:val="0"/>
      <w:marRight w:val="0"/>
      <w:marTop w:val="0"/>
      <w:marBottom w:val="0"/>
      <w:divBdr>
        <w:top w:val="none" w:sz="0" w:space="0" w:color="auto"/>
        <w:left w:val="none" w:sz="0" w:space="0" w:color="auto"/>
        <w:bottom w:val="none" w:sz="0" w:space="0" w:color="auto"/>
        <w:right w:val="none" w:sz="0" w:space="0" w:color="auto"/>
      </w:divBdr>
      <w:divsChild>
        <w:div w:id="864363323">
          <w:marLeft w:val="0"/>
          <w:marRight w:val="0"/>
          <w:marTop w:val="0"/>
          <w:marBottom w:val="0"/>
          <w:divBdr>
            <w:top w:val="none" w:sz="0" w:space="0" w:color="auto"/>
            <w:left w:val="none" w:sz="0" w:space="0" w:color="auto"/>
            <w:bottom w:val="none" w:sz="0" w:space="0" w:color="auto"/>
            <w:right w:val="none" w:sz="0" w:space="0" w:color="auto"/>
          </w:divBdr>
        </w:div>
      </w:divsChild>
    </w:div>
    <w:div w:id="444160275">
      <w:bodyDiv w:val="1"/>
      <w:marLeft w:val="0"/>
      <w:marRight w:val="0"/>
      <w:marTop w:val="0"/>
      <w:marBottom w:val="0"/>
      <w:divBdr>
        <w:top w:val="none" w:sz="0" w:space="0" w:color="auto"/>
        <w:left w:val="none" w:sz="0" w:space="0" w:color="auto"/>
        <w:bottom w:val="none" w:sz="0" w:space="0" w:color="auto"/>
        <w:right w:val="none" w:sz="0" w:space="0" w:color="auto"/>
      </w:divBdr>
    </w:div>
    <w:div w:id="472217125">
      <w:bodyDiv w:val="1"/>
      <w:marLeft w:val="0"/>
      <w:marRight w:val="0"/>
      <w:marTop w:val="0"/>
      <w:marBottom w:val="0"/>
      <w:divBdr>
        <w:top w:val="none" w:sz="0" w:space="0" w:color="auto"/>
        <w:left w:val="none" w:sz="0" w:space="0" w:color="auto"/>
        <w:bottom w:val="none" w:sz="0" w:space="0" w:color="auto"/>
        <w:right w:val="none" w:sz="0" w:space="0" w:color="auto"/>
      </w:divBdr>
      <w:divsChild>
        <w:div w:id="1784349950">
          <w:marLeft w:val="0"/>
          <w:marRight w:val="0"/>
          <w:marTop w:val="0"/>
          <w:marBottom w:val="0"/>
          <w:divBdr>
            <w:top w:val="none" w:sz="0" w:space="0" w:color="auto"/>
            <w:left w:val="none" w:sz="0" w:space="0" w:color="auto"/>
            <w:bottom w:val="none" w:sz="0" w:space="0" w:color="auto"/>
            <w:right w:val="none" w:sz="0" w:space="0" w:color="auto"/>
          </w:divBdr>
        </w:div>
      </w:divsChild>
    </w:div>
    <w:div w:id="973289469">
      <w:bodyDiv w:val="1"/>
      <w:marLeft w:val="0"/>
      <w:marRight w:val="0"/>
      <w:marTop w:val="0"/>
      <w:marBottom w:val="0"/>
      <w:divBdr>
        <w:top w:val="none" w:sz="0" w:space="0" w:color="auto"/>
        <w:left w:val="none" w:sz="0" w:space="0" w:color="auto"/>
        <w:bottom w:val="none" w:sz="0" w:space="0" w:color="auto"/>
        <w:right w:val="none" w:sz="0" w:space="0" w:color="auto"/>
      </w:divBdr>
    </w:div>
    <w:div w:id="1036199090">
      <w:bodyDiv w:val="1"/>
      <w:marLeft w:val="0"/>
      <w:marRight w:val="0"/>
      <w:marTop w:val="0"/>
      <w:marBottom w:val="0"/>
      <w:divBdr>
        <w:top w:val="none" w:sz="0" w:space="0" w:color="auto"/>
        <w:left w:val="none" w:sz="0" w:space="0" w:color="auto"/>
        <w:bottom w:val="none" w:sz="0" w:space="0" w:color="auto"/>
        <w:right w:val="none" w:sz="0" w:space="0" w:color="auto"/>
      </w:divBdr>
      <w:divsChild>
        <w:div w:id="523791984">
          <w:marLeft w:val="0"/>
          <w:marRight w:val="0"/>
          <w:marTop w:val="0"/>
          <w:marBottom w:val="0"/>
          <w:divBdr>
            <w:top w:val="none" w:sz="0" w:space="0" w:color="auto"/>
            <w:left w:val="none" w:sz="0" w:space="0" w:color="auto"/>
            <w:bottom w:val="none" w:sz="0" w:space="0" w:color="auto"/>
            <w:right w:val="none" w:sz="0" w:space="0" w:color="auto"/>
          </w:divBdr>
        </w:div>
      </w:divsChild>
    </w:div>
    <w:div w:id="1260795562">
      <w:bodyDiv w:val="1"/>
      <w:marLeft w:val="0"/>
      <w:marRight w:val="0"/>
      <w:marTop w:val="0"/>
      <w:marBottom w:val="0"/>
      <w:divBdr>
        <w:top w:val="none" w:sz="0" w:space="0" w:color="auto"/>
        <w:left w:val="none" w:sz="0" w:space="0" w:color="auto"/>
        <w:bottom w:val="none" w:sz="0" w:space="0" w:color="auto"/>
        <w:right w:val="none" w:sz="0" w:space="0" w:color="auto"/>
      </w:divBdr>
    </w:div>
    <w:div w:id="1367877455">
      <w:bodyDiv w:val="1"/>
      <w:marLeft w:val="0"/>
      <w:marRight w:val="0"/>
      <w:marTop w:val="0"/>
      <w:marBottom w:val="0"/>
      <w:divBdr>
        <w:top w:val="none" w:sz="0" w:space="0" w:color="auto"/>
        <w:left w:val="none" w:sz="0" w:space="0" w:color="auto"/>
        <w:bottom w:val="none" w:sz="0" w:space="0" w:color="auto"/>
        <w:right w:val="none" w:sz="0" w:space="0" w:color="auto"/>
      </w:divBdr>
      <w:divsChild>
        <w:div w:id="1335954849">
          <w:marLeft w:val="0"/>
          <w:marRight w:val="0"/>
          <w:marTop w:val="0"/>
          <w:marBottom w:val="0"/>
          <w:divBdr>
            <w:top w:val="none" w:sz="0" w:space="0" w:color="auto"/>
            <w:left w:val="none" w:sz="0" w:space="0" w:color="auto"/>
            <w:bottom w:val="none" w:sz="0" w:space="0" w:color="auto"/>
            <w:right w:val="none" w:sz="0" w:space="0" w:color="auto"/>
          </w:divBdr>
        </w:div>
      </w:divsChild>
    </w:div>
    <w:div w:id="1435829069">
      <w:bodyDiv w:val="1"/>
      <w:marLeft w:val="0"/>
      <w:marRight w:val="0"/>
      <w:marTop w:val="0"/>
      <w:marBottom w:val="0"/>
      <w:divBdr>
        <w:top w:val="none" w:sz="0" w:space="0" w:color="auto"/>
        <w:left w:val="none" w:sz="0" w:space="0" w:color="auto"/>
        <w:bottom w:val="none" w:sz="0" w:space="0" w:color="auto"/>
        <w:right w:val="none" w:sz="0" w:space="0" w:color="auto"/>
      </w:divBdr>
      <w:divsChild>
        <w:div w:id="1695615506">
          <w:marLeft w:val="0"/>
          <w:marRight w:val="0"/>
          <w:marTop w:val="0"/>
          <w:marBottom w:val="0"/>
          <w:divBdr>
            <w:top w:val="none" w:sz="0" w:space="0" w:color="auto"/>
            <w:left w:val="none" w:sz="0" w:space="0" w:color="auto"/>
            <w:bottom w:val="none" w:sz="0" w:space="0" w:color="auto"/>
            <w:right w:val="none" w:sz="0" w:space="0" w:color="auto"/>
          </w:divBdr>
        </w:div>
      </w:divsChild>
    </w:div>
    <w:div w:id="1586114310">
      <w:bodyDiv w:val="1"/>
      <w:marLeft w:val="0"/>
      <w:marRight w:val="0"/>
      <w:marTop w:val="0"/>
      <w:marBottom w:val="0"/>
      <w:divBdr>
        <w:top w:val="none" w:sz="0" w:space="0" w:color="auto"/>
        <w:left w:val="none" w:sz="0" w:space="0" w:color="auto"/>
        <w:bottom w:val="none" w:sz="0" w:space="0" w:color="auto"/>
        <w:right w:val="none" w:sz="0" w:space="0" w:color="auto"/>
      </w:divBdr>
    </w:div>
    <w:div w:id="1836261501">
      <w:bodyDiv w:val="1"/>
      <w:marLeft w:val="0"/>
      <w:marRight w:val="0"/>
      <w:marTop w:val="0"/>
      <w:marBottom w:val="0"/>
      <w:divBdr>
        <w:top w:val="none" w:sz="0" w:space="0" w:color="auto"/>
        <w:left w:val="none" w:sz="0" w:space="0" w:color="auto"/>
        <w:bottom w:val="none" w:sz="0" w:space="0" w:color="auto"/>
        <w:right w:val="none" w:sz="0" w:space="0" w:color="auto"/>
      </w:divBdr>
    </w:div>
    <w:div w:id="1934360943">
      <w:bodyDiv w:val="1"/>
      <w:marLeft w:val="0"/>
      <w:marRight w:val="0"/>
      <w:marTop w:val="0"/>
      <w:marBottom w:val="0"/>
      <w:divBdr>
        <w:top w:val="none" w:sz="0" w:space="0" w:color="auto"/>
        <w:left w:val="none" w:sz="0" w:space="0" w:color="auto"/>
        <w:bottom w:val="none" w:sz="0" w:space="0" w:color="auto"/>
        <w:right w:val="none" w:sz="0" w:space="0" w:color="auto"/>
      </w:divBdr>
      <w:divsChild>
        <w:div w:id="1805081536">
          <w:marLeft w:val="0"/>
          <w:marRight w:val="0"/>
          <w:marTop w:val="0"/>
          <w:marBottom w:val="0"/>
          <w:divBdr>
            <w:top w:val="none" w:sz="0" w:space="0" w:color="auto"/>
            <w:left w:val="none" w:sz="0" w:space="0" w:color="auto"/>
            <w:bottom w:val="none" w:sz="0" w:space="0" w:color="auto"/>
            <w:right w:val="none" w:sz="0" w:space="0" w:color="auto"/>
          </w:divBdr>
        </w:div>
      </w:divsChild>
    </w:div>
    <w:div w:id="1965770010">
      <w:bodyDiv w:val="1"/>
      <w:marLeft w:val="0"/>
      <w:marRight w:val="0"/>
      <w:marTop w:val="0"/>
      <w:marBottom w:val="0"/>
      <w:divBdr>
        <w:top w:val="none" w:sz="0" w:space="0" w:color="auto"/>
        <w:left w:val="none" w:sz="0" w:space="0" w:color="auto"/>
        <w:bottom w:val="none" w:sz="0" w:space="0" w:color="auto"/>
        <w:right w:val="none" w:sz="0" w:space="0" w:color="auto"/>
      </w:divBdr>
    </w:div>
    <w:div w:id="2016179032">
      <w:bodyDiv w:val="1"/>
      <w:marLeft w:val="0"/>
      <w:marRight w:val="0"/>
      <w:marTop w:val="0"/>
      <w:marBottom w:val="0"/>
      <w:divBdr>
        <w:top w:val="none" w:sz="0" w:space="0" w:color="auto"/>
        <w:left w:val="none" w:sz="0" w:space="0" w:color="auto"/>
        <w:bottom w:val="none" w:sz="0" w:space="0" w:color="auto"/>
        <w:right w:val="none" w:sz="0" w:space="0" w:color="auto"/>
      </w:divBdr>
      <w:divsChild>
        <w:div w:id="79891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ltaflow.com/global.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Schnebelen</dc:creator>
  <cp:lastModifiedBy>Ray Schnebelen</cp:lastModifiedBy>
  <cp:revision>2</cp:revision>
  <dcterms:created xsi:type="dcterms:W3CDTF">2016-12-03T13:20:00Z</dcterms:created>
  <dcterms:modified xsi:type="dcterms:W3CDTF">2016-12-03T16:37:00Z</dcterms:modified>
</cp:coreProperties>
</file>